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 personal de objetivos y revisión semanal</w:t>
      </w:r>
    </w:p>
    <w:p>
      <w:r>
        <w:t>Convierte objetivos de trabajo o vida en acciones realistas, revisiones y decisiones documentadas.</w:t>
      </w:r>
    </w:p>
    <w:p>
      <w:pPr>
        <w:pStyle w:val="Heading1"/>
      </w:pPr>
      <w:r>
        <w:t>Objetivo y destinatarios</w:t>
      </w:r>
    </w:p>
    <w:p>
      <w:r>
        <w:t>Elegir pocas prioridades, convertirlas en acciones posibles y revisar el avance sin confundir actividad con resultado.</w:t>
      </w:r>
    </w:p>
    <w:p>
      <w:r>
        <w:t>Personas que buscan organizar estudios, trabajo, hogar o un proyecto personal.</w:t>
      </w:r>
    </w:p>
    <w:p>
      <w:r>
        <w:t>Contenido: guía de uso · diccionario de campos · ejemplo ficticio · plantilla editable · revisión y errores frecuentes.</w:t>
      </w:r>
    </w:p>
    <w:p>
      <w:pPr>
        <w:pStyle w:val="Heading1"/>
      </w:pPr>
      <w:r>
        <w:t>Cómo utilizar este documento</w:t>
      </w:r>
    </w:p>
    <w:p>
      <w:pPr>
        <w:pStyle w:val="Heading2"/>
      </w:pPr>
      <w:r>
        <w:t>1 Elige un objetivo concreto</w:t>
      </w:r>
    </w:p>
    <w:p>
      <w:r>
        <w:t>Describe un resultado importante para ti y por qué merece tiempo. Define un indicador observable y un plazo de revisión. Evita objetivos que dependan por completo de decisiones de otras personas.</w:t>
      </w:r>
    </w:p>
    <w:p>
      <w:pPr>
        <w:pStyle w:val="Heading2"/>
      </w:pPr>
      <w:r>
        <w:t>2 Comprueba capacidad y límites</w:t>
      </w:r>
    </w:p>
    <w:p>
      <w:r>
        <w:t>Anota compromisos fijos, recursos disponibles y obstáculos. Deja margen para imprevistos y descanso. Un plan útil debe caber en tu semana real; añadir tareas sin quitar otras no crea más tiempo.</w:t>
      </w:r>
    </w:p>
    <w:p>
      <w:pPr>
        <w:pStyle w:val="Heading2"/>
      </w:pPr>
      <w:r>
        <w:t>3 Diseña acciones pequeñas</w:t>
      </w:r>
    </w:p>
    <w:p>
      <w:r>
        <w:t>Divide el objetivo en acciones con verbo, duración orientativa y momento de inicio. La primera debe ser sencilla: preparar material, reservar un bloque o pedir información. Identifica qué hacer si no puedes cumplir el plan original.</w:t>
      </w:r>
    </w:p>
    <w:p>
      <w:pPr>
        <w:pStyle w:val="Heading2"/>
      </w:pPr>
      <w:r>
        <w:t>4 Haz una revisión breve</w:t>
      </w:r>
    </w:p>
    <w:p>
      <w:r>
        <w:t>Una vez por semana compara lo planeado con lo realizado y la evidencia. Describe qué facilitó o bloqueó el avance. No uses el registro para castigarte: el propósito es ajustar condiciones y decisiones.</w:t>
      </w:r>
    </w:p>
    <w:p>
      <w:pPr>
        <w:pStyle w:val="Heading2"/>
      </w:pPr>
      <w:r>
        <w:t>5 Decide el siguiente ciclo</w:t>
      </w:r>
    </w:p>
    <w:p>
      <w:r>
        <w:t>Elige continuar, modificar, pausar o cerrar. Conserva aprendizajes y una siguiente acción concreta. Para asuntos de salud, dinero o derechos, solicita asesoramiento competente cuando la decisión lo requiera; esta plantilla organiza información, no prescribe soluciones.</w:t>
      </w:r>
    </w:p>
    <w:p>
      <w:r>
        <w:br w:type="page"/>
      </w:r>
    </w:p>
    <w:p>
      <w:pPr>
        <w:pStyle w:val="Title"/>
      </w:pPr>
      <w:r>
        <w:t>Diccionario de campos</w:t>
      </w:r>
    </w:p>
    <w:p>
      <w:r>
        <w:t>Use este diccionario para completar la plantilla. No deje vacíos ambiguos: indique «No aplica», «No disponible» o «Pendiente de confirmar» cuando corresponda. Un campo pendiente no equivale a una autorización.</w:t>
      </w:r>
    </w:p>
    <w:tbl>
      <w:tblPr>
        <w:tblStyle w:val="TableGrid"/>
        <w:tblW w:type="auto" w:w="0"/>
        <w:tblLayout w:type="fixed"/>
        <w:tblLook w:firstColumn="1" w:firstRow="1" w:lastColumn="0" w:lastRow="0" w:noHBand="0" w:noVBand="1" w:val="04A0"/>
      </w:tblPr>
      <w:tblGrid>
        <w:gridCol w:w="2268"/>
        <w:gridCol w:w="7370"/>
      </w:tblGrid>
      <w:tr>
        <w:trPr>
          <w:tblHeader/>
        </w:trPr>
        <w:tc>
          <w:tcPr>
            <w:tcW w:type="dxa" w:w="2268"/>
            <w:shd w:fill="E8EEF1"/>
          </w:tcPr>
          <w:p>
            <w:pPr>
              <w:spacing w:after="80"/>
            </w:pPr>
            <w:r>
              <w:rPr>
                <w:rFonts w:ascii="Arial" w:hAnsi="Arial"/>
                <w:b/>
                <w:color w:val="000000"/>
                <w:sz w:val="19"/>
              </w:rPr>
              <w:t>Campo</w:t>
            </w:r>
          </w:p>
        </w:tc>
        <w:tc>
          <w:tcPr>
            <w:tcW w:type="dxa" w:w="7370"/>
            <w:shd w:fill="E8EEF1"/>
          </w:tcPr>
          <w:p>
            <w:pPr>
              <w:spacing w:after="80"/>
            </w:pPr>
            <w:r>
              <w:rPr>
                <w:rFonts w:ascii="Arial" w:hAnsi="Arial"/>
                <w:b/>
                <w:color w:val="000000"/>
                <w:sz w:val="19"/>
              </w:rPr>
              <w:t>Qué registrar y cómo revisarlo</w:t>
            </w:r>
          </w:p>
        </w:tc>
      </w:tr>
      <w:tr>
        <w:trPr>
          <w:cantSplit/>
        </w:trPr>
        <w:tc>
          <w:tcPr>
            <w:tcW w:type="dxa" w:w="2268"/>
          </w:tcPr>
          <w:p>
            <w:pPr>
              <w:spacing w:after="80"/>
            </w:pPr>
            <w:r>
              <w:rPr>
                <w:rFonts w:ascii="Arial" w:hAnsi="Arial"/>
                <w:color w:val="000000"/>
                <w:sz w:val="19"/>
              </w:rPr>
              <w:t>Área</w:t>
            </w:r>
          </w:p>
        </w:tc>
        <w:tc>
          <w:tcPr>
            <w:tcW w:type="dxa" w:w="7370"/>
          </w:tcPr>
          <w:p>
            <w:pPr>
              <w:spacing w:after="80"/>
            </w:pPr>
            <w:r>
              <w:rPr>
                <w:rFonts w:ascii="Arial" w:hAnsi="Arial"/>
                <w:color w:val="000000"/>
                <w:sz w:val="19"/>
              </w:rPr>
              <w:t>Trabajo, estudios, hogar o proyecto personal. Si el objetivo abarca varias áreas, indica la principal.</w:t>
            </w:r>
          </w:p>
        </w:tc>
      </w:tr>
      <w:tr>
        <w:trPr>
          <w:cantSplit/>
        </w:trPr>
        <w:tc>
          <w:tcPr>
            <w:tcW w:type="dxa" w:w="2268"/>
          </w:tcPr>
          <w:p>
            <w:pPr>
              <w:spacing w:after="80"/>
            </w:pPr>
            <w:r>
              <w:rPr>
                <w:rFonts w:ascii="Arial" w:hAnsi="Arial"/>
                <w:color w:val="000000"/>
                <w:sz w:val="19"/>
              </w:rPr>
              <w:t>Resultado</w:t>
            </w:r>
          </w:p>
        </w:tc>
        <w:tc>
          <w:tcPr>
            <w:tcW w:type="dxa" w:w="7370"/>
          </w:tcPr>
          <w:p>
            <w:pPr>
              <w:spacing w:after="80"/>
            </w:pPr>
            <w:r>
              <w:rPr>
                <w:rFonts w:ascii="Arial" w:hAnsi="Arial"/>
                <w:color w:val="000000"/>
                <w:sz w:val="19"/>
              </w:rPr>
              <w:t>Qué quieres lograr y cómo se observará. Diferencia «dedicar tiempo» de «completar un resultado».</w:t>
            </w:r>
          </w:p>
        </w:tc>
      </w:tr>
      <w:tr>
        <w:trPr>
          <w:cantSplit/>
        </w:trPr>
        <w:tc>
          <w:tcPr>
            <w:tcW w:type="dxa" w:w="2268"/>
          </w:tcPr>
          <w:p>
            <w:pPr>
              <w:spacing w:after="80"/>
            </w:pPr>
            <w:r>
              <w:rPr>
                <w:rFonts w:ascii="Arial" w:hAnsi="Arial"/>
                <w:color w:val="000000"/>
                <w:sz w:val="19"/>
              </w:rPr>
              <w:t>Motivo</w:t>
            </w:r>
          </w:p>
        </w:tc>
        <w:tc>
          <w:tcPr>
            <w:tcW w:type="dxa" w:w="7370"/>
          </w:tcPr>
          <w:p>
            <w:pPr>
              <w:spacing w:after="80"/>
            </w:pPr>
            <w:r>
              <w:rPr>
                <w:rFonts w:ascii="Arial" w:hAnsi="Arial"/>
                <w:color w:val="000000"/>
                <w:sz w:val="19"/>
              </w:rPr>
              <w:t>Por qué importa y qué coste tendría descuidarlo. Evita una lista de obligaciones ajenas sin revisar tus prioridades.</w:t>
            </w:r>
          </w:p>
        </w:tc>
      </w:tr>
      <w:tr>
        <w:trPr>
          <w:cantSplit/>
        </w:trPr>
        <w:tc>
          <w:tcPr>
            <w:tcW w:type="dxa" w:w="2268"/>
          </w:tcPr>
          <w:p>
            <w:pPr>
              <w:spacing w:after="80"/>
            </w:pPr>
            <w:r>
              <w:rPr>
                <w:rFonts w:ascii="Arial" w:hAnsi="Arial"/>
                <w:color w:val="000000"/>
                <w:sz w:val="19"/>
              </w:rPr>
              <w:t>Indicador</w:t>
            </w:r>
          </w:p>
        </w:tc>
        <w:tc>
          <w:tcPr>
            <w:tcW w:type="dxa" w:w="7370"/>
          </w:tcPr>
          <w:p>
            <w:pPr>
              <w:spacing w:after="80"/>
            </w:pPr>
            <w:r>
              <w:rPr>
                <w:rFonts w:ascii="Arial" w:hAnsi="Arial"/>
                <w:color w:val="000000"/>
                <w:sz w:val="19"/>
              </w:rPr>
              <w:t>Una medida sencilla con referencia inicial. Puede ser una entrega, una frecuencia o un registro cualitativo.</w:t>
            </w:r>
          </w:p>
        </w:tc>
      </w:tr>
      <w:tr>
        <w:trPr>
          <w:cantSplit/>
        </w:trPr>
        <w:tc>
          <w:tcPr>
            <w:tcW w:type="dxa" w:w="2268"/>
          </w:tcPr>
          <w:p>
            <w:pPr>
              <w:spacing w:after="80"/>
            </w:pPr>
            <w:r>
              <w:rPr>
                <w:rFonts w:ascii="Arial" w:hAnsi="Arial"/>
                <w:color w:val="000000"/>
                <w:sz w:val="19"/>
              </w:rPr>
              <w:t>Acciones</w:t>
            </w:r>
          </w:p>
        </w:tc>
        <w:tc>
          <w:tcPr>
            <w:tcW w:type="dxa" w:w="7370"/>
          </w:tcPr>
          <w:p>
            <w:pPr>
              <w:spacing w:after="80"/>
            </w:pPr>
            <w:r>
              <w:rPr>
                <w:rFonts w:ascii="Arial" w:hAnsi="Arial"/>
                <w:color w:val="000000"/>
                <w:sz w:val="19"/>
              </w:rPr>
              <w:t>Verbo, duración orientativa, fecha o bloque de tiempo, recursos y siguiente paso.</w:t>
            </w:r>
          </w:p>
        </w:tc>
      </w:tr>
      <w:tr>
        <w:trPr>
          <w:cantSplit/>
        </w:trPr>
        <w:tc>
          <w:tcPr>
            <w:tcW w:type="dxa" w:w="2268"/>
          </w:tcPr>
          <w:p>
            <w:pPr>
              <w:spacing w:after="80"/>
            </w:pPr>
            <w:r>
              <w:rPr>
                <w:rFonts w:ascii="Arial" w:hAnsi="Arial"/>
                <w:color w:val="000000"/>
                <w:sz w:val="19"/>
              </w:rPr>
              <w:t>Obstáculos</w:t>
            </w:r>
          </w:p>
        </w:tc>
        <w:tc>
          <w:tcPr>
            <w:tcW w:type="dxa" w:w="7370"/>
          </w:tcPr>
          <w:p>
            <w:pPr>
              <w:spacing w:after="80"/>
            </w:pPr>
            <w:r>
              <w:rPr>
                <w:rFonts w:ascii="Arial" w:hAnsi="Arial"/>
                <w:color w:val="000000"/>
                <w:sz w:val="19"/>
              </w:rPr>
              <w:t>Condición que dificulta el plan, señal temprana y alternativa viable.</w:t>
            </w:r>
          </w:p>
        </w:tc>
      </w:tr>
      <w:tr>
        <w:trPr>
          <w:cantSplit/>
        </w:trPr>
        <w:tc>
          <w:tcPr>
            <w:tcW w:type="dxa" w:w="2268"/>
          </w:tcPr>
          <w:p>
            <w:pPr>
              <w:spacing w:after="80"/>
            </w:pPr>
            <w:r>
              <w:rPr>
                <w:rFonts w:ascii="Arial" w:hAnsi="Arial"/>
                <w:color w:val="000000"/>
                <w:sz w:val="19"/>
              </w:rPr>
              <w:t>Revisión</w:t>
            </w:r>
          </w:p>
        </w:tc>
        <w:tc>
          <w:tcPr>
            <w:tcW w:type="dxa" w:w="7370"/>
          </w:tcPr>
          <w:p>
            <w:pPr>
              <w:spacing w:after="80"/>
            </w:pPr>
            <w:r>
              <w:rPr>
                <w:rFonts w:ascii="Arial" w:hAnsi="Arial"/>
                <w:color w:val="000000"/>
                <w:sz w:val="19"/>
              </w:rPr>
              <w:t>Hechos de la semana, evidencia, aprendizaje y ajuste.</w:t>
            </w:r>
          </w:p>
        </w:tc>
      </w:tr>
      <w:tr>
        <w:trPr>
          <w:cantSplit/>
        </w:trPr>
        <w:tc>
          <w:tcPr>
            <w:tcW w:type="dxa" w:w="2268"/>
          </w:tcPr>
          <w:p>
            <w:pPr>
              <w:spacing w:after="80"/>
            </w:pPr>
            <w:r>
              <w:rPr>
                <w:rFonts w:ascii="Arial" w:hAnsi="Arial"/>
                <w:color w:val="000000"/>
                <w:sz w:val="19"/>
              </w:rPr>
              <w:t>Decisión</w:t>
            </w:r>
          </w:p>
        </w:tc>
        <w:tc>
          <w:tcPr>
            <w:tcW w:type="dxa" w:w="7370"/>
          </w:tcPr>
          <w:p>
            <w:pPr>
              <w:spacing w:after="80"/>
            </w:pPr>
            <w:r>
              <w:rPr>
                <w:rFonts w:ascii="Arial" w:hAnsi="Arial"/>
                <w:color w:val="000000"/>
                <w:sz w:val="19"/>
              </w:rPr>
              <w:t>Continuar, ajustar, pausar o cerrar, con motivo y fecha de nueva revisión.</w:t>
            </w:r>
          </w:p>
        </w:tc>
      </w:tr>
    </w:tbl>
    <w:p>
      <w:pPr>
        <w:pStyle w:val="Heading1"/>
      </w:pPr>
      <w:r>
        <w:t>Alcance y límites</w:t>
      </w:r>
    </w:p>
    <w:p>
      <w:r>
        <w:t>Es una herramienta de organización personal. No sustituye atención médica, asesoría financiera, apoyo psicológico ni asesoramiento legal cuando sean necesarios.</w:t>
      </w:r>
    </w:p>
    <w:p>
      <w:r>
        <w:br w:type="page"/>
      </w:r>
    </w:p>
    <w:p>
      <w:pPr>
        <w:pStyle w:val="Title"/>
      </w:pPr>
      <w:r>
        <w:t>Ejemplo ficticio completar un curso de hojas de cálculo</w:t>
      </w:r>
    </w:p>
    <w:p>
      <w:r>
        <w:t>Todos los nombres, cifras, organizaciones y situaciones de esta sección son ficticios. Ilustran cómo documentar; no son especificaciones ni una recomendación para un caso real.</w:t>
      </w:r>
    </w:p>
    <w:p>
      <w:pPr>
        <w:pStyle w:val="Heading1"/>
      </w:pPr>
      <w:r>
        <w:t>Objetivo</w:t>
      </w:r>
    </w:p>
    <w:p>
      <w:r>
        <w:t>Diego, personaje ficticio, quiere completar cuatro módulos de un curso en seis semanas y elaborar una hoja de presupuesto como práctica. Referencia inicial: módulo 1 sin comenzar. Indicador: módulos completados y archivo revisado con un ejemplo.</w:t>
      </w:r>
    </w:p>
    <w:p>
      <w:pPr>
        <w:pStyle w:val="Heading1"/>
      </w:pPr>
      <w:r>
        <w:t>Plan semanal</w:t>
      </w:r>
    </w:p>
    <w:p>
      <w:r>
        <w:t>Reserva dos bloques de 40 minutos después de compromisos fijos. Primera acción: descargar los materiales y crear una carpeta. Cada bloque termina con una nota de lo aprendido y la siguiente tarea. Si una semana solo dispone de un bloque, prioriza una actividad y reprograma el resto.</w:t>
      </w:r>
    </w:p>
    <w:p>
      <w:pPr>
        <w:pStyle w:val="Heading1"/>
      </w:pPr>
      <w:r>
        <w:t>Obstáculo y alternativa</w:t>
      </w:r>
    </w:p>
    <w:p>
      <w:r>
        <w:t>Una entrega de trabajo puede reducir la disponibilidad. Señal: dos bloques cancelados. Alternativa: un bloque de repaso de 20 minutos y nueva revisión del plazo. No compensar automáticamente quitando sueño o descanso.</w:t>
      </w:r>
    </w:p>
    <w:p>
      <w:pPr>
        <w:pStyle w:val="Heading1"/>
      </w:pPr>
      <w:r>
        <w:t>Revisión y decisión</w:t>
      </w:r>
    </w:p>
    <w:p>
      <w:r>
        <w:t>En la semana 2 completó un módulo y practicó una fórmula. La dificultad principal fue la configuración regional. Decide dedicar el siguiente bloque a revisar separadores y formatos de fecha antes de avanzar. El registro distingue una sesión realizada de un módulo realmente completado.</w:t>
      </w:r>
    </w:p>
    <w:p>
      <w:pPr>
        <w:pStyle w:val="Heading1"/>
      </w:pPr>
      <w:r>
        <w:t>Cómo adaptar el ejemplo</w:t>
      </w:r>
    </w:p>
    <w:p>
      <w:r>
        <w:t>Conserve la estructura que le resulte útil y sustituya cada hecho por información propia verificable. No copie nombres o cifras del ejemplo. Compruebe qué parte necesita aprobación y qué información puede compartir. Registre cualquier supuesto para revisarlo antes de tomar una decisión.</w:t>
      </w:r>
    </w:p>
    <w:p>
      <w:r>
        <w:br w:type="page"/>
      </w:r>
    </w:p>
    <w:p>
      <w:pPr>
        <w:pStyle w:val="Title"/>
      </w:pPr>
      <w:r>
        <w:t>Plan y revisión editables parte 1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OBJETIVO Y CONTEXTO</w:t>
      </w:r>
    </w:p>
    <w:p>
      <w:r>
        <w:t>Área: [ ] · Objetivo: [ ]</w:t>
      </w:r>
    </w:p>
    <w:p>
      <w:r>
        <w:t>Por qué importa: [ ]</w:t>
      </w:r>
    </w:p>
    <w:p>
      <w:r>
        <w:t>Resultado e indicador: [ ]</w:t>
      </w:r>
    </w:p>
    <w:p>
      <w:r>
        <w:t>Referencia inicial: [ ] · Revisión prevista: [ ]</w:t>
      </w:r>
    </w:p>
    <w:p>
      <w:r>
        <w:t>Recursos / compromisos / límites: [ ]</w:t>
      </w:r>
    </w:p>
    <w:p/>
    <w:p>
      <w:pPr>
        <w:pStyle w:val="Heading1"/>
      </w:pPr>
      <w:r>
        <w:t>ACCIONES DE LA SEMANA</w:t>
      </w:r>
    </w:p>
    <w:p>
      <w:r>
        <w:t>Semana: [ ]</w:t>
      </w:r>
    </w:p>
    <w:p>
      <w:r>
        <w:t>Prioridad 1 · Acción: [ ] · Duración / momento: [ ]</w:t>
      </w:r>
    </w:p>
    <w:p>
      <w:r>
        <w:t>Prioridad 2 · Acción: [ ] · Duración / momento: [ ]</w:t>
      </w:r>
    </w:p>
    <w:p>
      <w:r>
        <w:t>Prioridad 3 · Acción: [ ] · Duración / momento: [ ]</w:t>
      </w:r>
    </w:p>
    <w:p>
      <w:r>
        <w:t>Preparación y primera acción: [ ]</w:t>
      </w:r>
    </w:p>
    <w:p>
      <w:r>
        <w:t>Obstáculo / señal / alternativa: [ ]</w:t>
      </w:r>
    </w:p>
    <w:p/>
    <w:p>
      <w:r>
        <w:br w:type="page"/>
      </w:r>
    </w:p>
    <w:p>
      <w:pPr>
        <w:pStyle w:val="Title"/>
      </w:pPr>
      <w:r>
        <w:t>Plan y revisión editables parte 2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REVISIÓN SEMANAL</w:t>
      </w:r>
    </w:p>
    <w:p>
      <w:r>
        <w:t>Qué hice y con qué evidencia: [ ]</w:t>
      </w:r>
    </w:p>
    <w:p>
      <w:r>
        <w:t>Qué resultado obtuve: [ ]</w:t>
      </w:r>
    </w:p>
    <w:p>
      <w:r>
        <w:t>Qué facilitó el avance: [ ]</w:t>
      </w:r>
    </w:p>
    <w:p>
      <w:r>
        <w:t>Qué bloqueó el avance: [ ]</w:t>
      </w:r>
    </w:p>
    <w:p>
      <w:r>
        <w:t>Qué aprendí: [ ]</w:t>
      </w:r>
    </w:p>
    <w:p>
      <w:r>
        <w:t>Qué voy a ajustar: [ ]</w:t>
      </w:r>
    </w:p>
    <w:p/>
    <w:p>
      <w:pPr>
        <w:pStyle w:val="Heading1"/>
      </w:pPr>
      <w:r>
        <w:t>DECISIÓN Y SIGUIENTE CICLO</w:t>
      </w:r>
    </w:p>
    <w:p>
      <w:r>
        <w:t>Decisión: [Continuar / Ajustar / Pausar / Cerrar]</w:t>
      </w:r>
    </w:p>
    <w:p>
      <w:r>
        <w:t>Motivo: [ ] · Siguiente acción concreta: [ ]</w:t>
      </w:r>
    </w:p>
    <w:p>
      <w:r>
        <w:t>Qué dejo de hacer para crear espacio: [ ]</w:t>
      </w:r>
    </w:p>
    <w:p>
      <w:r>
        <w:t>Fecha de próxima revisión: [ ]</w:t>
      </w:r>
    </w:p>
    <w:p>
      <w:r>
        <w:t>Apoyo o información que necesito: [ ]</w:t>
      </w:r>
    </w:p>
    <w:p/>
    <w:p>
      <w:r>
        <w:br w:type="page"/>
      </w:r>
    </w:p>
    <w:p>
      <w:pPr>
        <w:pStyle w:val="Title"/>
      </w:pPr>
      <w:r>
        <w:t>Revisión final y ayuda</w:t>
      </w:r>
    </w:p>
    <w:p>
      <w:pPr>
        <w:pStyle w:val="Heading1"/>
      </w:pPr>
      <w:r>
        <w:t>Lista de verificación</w:t>
      </w:r>
    </w:p>
    <w:p>
      <w:r>
        <w:t>☐ He elegido pocas prioridades y un resultado observable.</w:t>
      </w:r>
    </w:p>
    <w:p>
      <w:r>
        <w:t>☐ Las acciones caben en mi disponibilidad real.</w:t>
      </w:r>
    </w:p>
    <w:p>
      <w:r>
        <w:t>☐ Tengo una primera acción y una alternativa ante imprevistos.</w:t>
      </w:r>
    </w:p>
    <w:p>
      <w:r>
        <w:t>☐ La revisión diferencia esfuerzo y resultado.</w:t>
      </w:r>
    </w:p>
    <w:p>
      <w:r>
        <w:t>☐ He registrado un ajuste concreto sin acumular tareas automáticamente.</w:t>
      </w:r>
    </w:p>
    <w:p>
      <w:r>
        <w:t>☐ No he incluido contraseñas ni datos personales sensibles innecesarios.</w:t>
      </w:r>
    </w:p>
    <w:p>
      <w:pPr>
        <w:pStyle w:val="Heading1"/>
      </w:pPr>
      <w:r>
        <w:t>Problemas frecuentes</w:t>
      </w:r>
    </w:p>
    <w:p>
      <w:pPr>
        <w:pStyle w:val="Heading2"/>
      </w:pPr>
      <w:r>
        <w:t>Abandono después de una semana</w:t>
      </w:r>
    </w:p>
    <w:p>
      <w:r>
        <w:t>Reduce el tamaño de la primera acción y revisa el momento elegido; conserva la experiencia como información.</w:t>
      </w:r>
    </w:p>
    <w:p>
      <w:pPr>
        <w:pStyle w:val="Heading2"/>
      </w:pPr>
      <w:r>
        <w:t>Cumplo tareas pero no avanzo</w:t>
      </w:r>
    </w:p>
    <w:p>
      <w:r>
        <w:t>Comprueba si las acciones producen el resultado buscado y sustituye las que solo generan actividad.</w:t>
      </w:r>
    </w:p>
    <w:p>
      <w:pPr>
        <w:pStyle w:val="Heading2"/>
      </w:pPr>
      <w:r>
        <w:t>Tengo demasiados objetivos</w:t>
      </w:r>
    </w:p>
    <w:p>
      <w:r>
        <w:t>Selecciona uno principal para el ciclo actual y deja los demás en una lista para revisión.</w:t>
      </w:r>
    </w:p>
    <w:p>
      <w:pPr>
        <w:pStyle w:val="Heading1"/>
      </w:pPr>
      <w:r>
        <w:t>Guardar, compartir y mantener</w:t>
      </w:r>
    </w:p>
    <w:p>
      <w:r>
        <w:t>Guarde primero una copia con un nombre reconocible, fecha y versión. Revise los cambios controlados, comentarios y propiedades del documento antes de enviarlo. Para lectura final, exporte a PDF y compruebe saltos de página; conserve el Word como archivo de trabajo. Las fuentes y el espaciado pueden variar entre Word y aplicaciones compatibles.</w:t>
      </w:r>
    </w:p>
    <w:p>
      <w:r>
        <w:t>VYRCO no recibe los datos que escriba en el archivo. Guarde una copia en una ubicación adecuada y comparta solo la información necesaria. Si su aplicación sincroniza archivos en la nube, se aplican las condiciones de ese servicio. No guarde contraseñas, números completos de tarjetas ni identificadores sensibles innecesarios.</w:t>
      </w:r>
    </w:p>
    <w:p>
      <w:pPr>
        <w:pStyle w:val="Heading1"/>
      </w:pPr>
      <w:r>
        <w:t>Origen, uso y contacto</w:t>
      </w:r>
    </w:p>
    <w:p>
      <w:r>
        <w:t>Contenido y ejemplo originales de VYRCO. No es un formulario oficial, una certificación ni una validación de su caso. Versión 1.1 · 24/10/2026 · Español. Para correcciones: info@vyrco.com, indicando título y versión; no adjunte información confidencial.</w:t>
      </w:r>
    </w:p>
    <w:p>
      <w:r>
        <w:t>Uso gratuito, también profesional. Puede adaptar para uso propio o interno conservando VYRCO y marcando los cambios. No revenda ni presente una versión modificada como original de VYRCO.</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VYRCO · v1.1 · 2026-10-24 · Español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VYRCO  /  WORD Y EXCEL  /  GUÍAS Y PLANTILLAS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personal de objetivos y revisión semanal</dc:title>
  <dc:subject>Guía y plantilla original editable</dc:subject>
  <dc:creator>VYRCO</dc:creator>
  <cp:keywords>VYRCO, plantilla, español, Word, uso profesional</cp:keywords>
  <dc:description>generated by python-docx</dc:description>
  <cp:lastModifiedBy>VYRCO</cp:lastModifiedBy>
  <cp:revision>1</cp:revision>
  <dcterms:created xsi:type="dcterms:W3CDTF">2026-10-10T12:00:00Z</dcterms:created>
  <dcterms:modified xsi:type="dcterms:W3CDTF">2026-10-10T12:00:00Z</dcterms:modified>
  <cp:category/>
</cp:coreProperties>
</file>